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bottom w:w="288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120322" w:rsidRPr="000774EB" w:rsidTr="46A6FEC1">
        <w:trPr>
          <w:trHeight w:val="191"/>
          <w:jc w:val="center"/>
        </w:trPr>
        <w:tc>
          <w:tcPr>
            <w:tcW w:w="10080" w:type="dxa"/>
            <w:gridSpan w:val="2"/>
            <w:tcMar>
              <w:bottom w:w="0" w:type="dxa"/>
            </w:tcMar>
          </w:tcPr>
          <w:p w:rsidR="00120322" w:rsidRPr="000774EB" w:rsidRDefault="00120322" w:rsidP="00BC31BD">
            <w:pPr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24CC45FD" wp14:editId="77C5C963">
                  <wp:extent cx="6391276" cy="543560"/>
                  <wp:effectExtent l="0" t="0" r="0" b="0"/>
                  <wp:docPr id="5" name="Picture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6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6A6FEC1">
              <w:rPr>
                <w:rFonts w:asciiTheme="minorHAnsi" w:hAnsiTheme="minorHAnsi" w:cs="Arial"/>
              </w:rPr>
              <w:t xml:space="preserve"> </w:t>
            </w:r>
          </w:p>
        </w:tc>
      </w:tr>
      <w:tr w:rsidR="00C470A3" w:rsidRPr="000774EB" w:rsidTr="46A6FEC1">
        <w:trPr>
          <w:trHeight w:val="88"/>
          <w:jc w:val="center"/>
        </w:trPr>
        <w:tc>
          <w:tcPr>
            <w:tcW w:w="5040" w:type="dxa"/>
            <w:tcMar>
              <w:bottom w:w="0" w:type="dxa"/>
            </w:tcMar>
          </w:tcPr>
          <w:p w:rsidR="00C470A3" w:rsidRPr="000774EB" w:rsidRDefault="00C470A3" w:rsidP="00BC31BD">
            <w:pPr>
              <w:rPr>
                <w:rFonts w:asciiTheme="minorHAnsi" w:hAnsiTheme="minorHAnsi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9556546" wp14:editId="3D602C0F">
                  <wp:extent cx="3200400" cy="390780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9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C470A3" w:rsidRPr="000774EB" w:rsidRDefault="00C470A3" w:rsidP="00BC31BD">
            <w:pPr>
              <w:rPr>
                <w:rFonts w:asciiTheme="minorHAnsi" w:hAnsiTheme="minorHAnsi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F7A5251" wp14:editId="4505EF20">
                  <wp:extent cx="3200400" cy="390432"/>
                  <wp:effectExtent l="0" t="0" r="0" b="3810"/>
                  <wp:docPr id="7" name="Picture 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9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322" w:rsidRPr="00D37F3C" w:rsidTr="46A6FEC1">
        <w:tblPrEx>
          <w:tblCellMar>
            <w:bottom w:w="0" w:type="dxa"/>
          </w:tblCellMar>
        </w:tblPrEx>
        <w:trPr>
          <w:jc w:val="center"/>
        </w:trPr>
        <w:tc>
          <w:tcPr>
            <w:tcW w:w="5040" w:type="dxa"/>
            <w:tcMar>
              <w:top w:w="0" w:type="dxa"/>
            </w:tcMar>
          </w:tcPr>
          <w:p w:rsidR="00120322" w:rsidRPr="00D37F3C" w:rsidRDefault="00E12EC6" w:rsidP="00E12EC6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D37F3C">
              <w:rPr>
                <w:rFonts w:ascii="Arial" w:hAnsi="Arial" w:cs="Arial"/>
                <w:b/>
                <w:sz w:val="22"/>
                <w:szCs w:val="22"/>
              </w:rPr>
              <w:t>For Immediate Release:</w:t>
            </w:r>
          </w:p>
          <w:p w:rsidR="00E12EC6" w:rsidRPr="00D37F3C" w:rsidRDefault="00EC3966" w:rsidP="00E12EC6">
            <w:pPr>
              <w:ind w:left="18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  <w:r w:rsidR="00502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B6B">
              <w:rPr>
                <w:rFonts w:ascii="Arial" w:hAnsi="Arial" w:cs="Arial"/>
                <w:sz w:val="22"/>
                <w:szCs w:val="22"/>
              </w:rPr>
              <w:t>2</w:t>
            </w:r>
            <w:r w:rsidR="0090212B">
              <w:rPr>
                <w:rFonts w:ascii="Arial" w:hAnsi="Arial" w:cs="Arial"/>
                <w:sz w:val="22"/>
                <w:szCs w:val="22"/>
              </w:rPr>
              <w:t>7</w:t>
            </w:r>
            <w:r w:rsidR="000F3787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AC5C9C" w:rsidRPr="00D37F3C" w:rsidRDefault="00AC5C9C" w:rsidP="00AC5C9C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F3C">
              <w:rPr>
                <w:rFonts w:ascii="Arial" w:hAnsi="Arial" w:cs="Arial"/>
                <w:b/>
                <w:sz w:val="22"/>
                <w:szCs w:val="22"/>
              </w:rPr>
              <w:t>Contact:</w:t>
            </w:r>
            <w:r w:rsidRPr="00D37F3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AC5C9C" w:rsidRDefault="000F3787" w:rsidP="00AC5C9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 Brown, (419)626-4320, </w:t>
            </w:r>
            <w:hyperlink r:id="rId14" w:history="1">
              <w:r w:rsidRPr="00AF247C">
                <w:rPr>
                  <w:rStyle w:val="Hyperlink"/>
                  <w:rFonts w:ascii="Arial" w:hAnsi="Arial" w:cs="Arial"/>
                  <w:sz w:val="22"/>
                  <w:szCs w:val="22"/>
                </w:rPr>
                <w:t>tbrown@cacehr.org</w:t>
              </w:r>
            </w:hyperlink>
          </w:p>
          <w:p w:rsidR="000F3787" w:rsidRDefault="000F3787" w:rsidP="00AC5C9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Ike Hickman, (419)589-2520, </w:t>
            </w:r>
            <w:hyperlink r:id="rId15" w:history="1">
              <w:r w:rsidRPr="00AF247C">
                <w:rPr>
                  <w:rStyle w:val="Hyperlink"/>
                  <w:rFonts w:ascii="Arial" w:hAnsi="Arial" w:cs="Arial"/>
                  <w:sz w:val="22"/>
                  <w:szCs w:val="22"/>
                </w:rPr>
                <w:t>ihickman@cacehr.org</w:t>
              </w:r>
            </w:hyperlink>
          </w:p>
          <w:p w:rsidR="00AC5C9C" w:rsidRPr="00D37F3C" w:rsidRDefault="00AC5C9C" w:rsidP="00AC5C9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C5C9C" w:rsidRPr="00D37F3C" w:rsidRDefault="00AC5C9C" w:rsidP="00AC5C9C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7F3C">
              <w:rPr>
                <w:rFonts w:ascii="Arial" w:hAnsi="Arial" w:cs="Arial"/>
                <w:b/>
                <w:sz w:val="22"/>
                <w:szCs w:val="22"/>
              </w:rPr>
              <w:t>Ohio Development Services Agency Contact:</w:t>
            </w:r>
          </w:p>
          <w:p w:rsidR="00AC5C9C" w:rsidRPr="00D37F3C" w:rsidRDefault="003E2F95" w:rsidP="00AC5C9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37F3C">
              <w:rPr>
                <w:rFonts w:ascii="Arial" w:hAnsi="Arial" w:cs="Arial"/>
                <w:sz w:val="22"/>
                <w:szCs w:val="22"/>
              </w:rPr>
              <w:t>Todd Walker</w:t>
            </w:r>
          </w:p>
          <w:p w:rsidR="00120322" w:rsidRPr="00D37F3C" w:rsidRDefault="003E2F95" w:rsidP="00AC5C9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37F3C">
              <w:rPr>
                <w:rFonts w:ascii="Arial" w:hAnsi="Arial" w:cs="Arial"/>
                <w:sz w:val="22"/>
                <w:szCs w:val="22"/>
              </w:rPr>
              <w:t>Todd.Walker@development.ohio.gov</w:t>
            </w:r>
          </w:p>
        </w:tc>
      </w:tr>
    </w:tbl>
    <w:p w:rsidR="00120322" w:rsidRPr="00D37F3C" w:rsidRDefault="00120322" w:rsidP="001203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41F26" w:rsidRPr="00D37F3C" w:rsidTr="46A6FEC1">
        <w:trPr>
          <w:jc w:val="center"/>
        </w:trPr>
        <w:tc>
          <w:tcPr>
            <w:tcW w:w="10080" w:type="dxa"/>
            <w:tcMar>
              <w:top w:w="0" w:type="dxa"/>
            </w:tcMar>
          </w:tcPr>
          <w:p w:rsidR="00C41F26" w:rsidRPr="00D37F3C" w:rsidRDefault="00EC3966" w:rsidP="00C41F26">
            <w:pPr>
              <w:ind w:left="180" w:righ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BITTER COLD! </w:t>
            </w:r>
            <w:r w:rsidR="00C07852">
              <w:rPr>
                <w:rFonts w:ascii="Arial" w:hAnsi="Arial" w:cs="Arial"/>
                <w:b/>
                <w:sz w:val="32"/>
                <w:szCs w:val="32"/>
              </w:rPr>
              <w:t>Winter Heating</w:t>
            </w:r>
            <w:r w:rsidR="00F11F59">
              <w:rPr>
                <w:rFonts w:ascii="Arial" w:hAnsi="Arial" w:cs="Arial"/>
                <w:b/>
                <w:sz w:val="32"/>
                <w:szCs w:val="32"/>
              </w:rPr>
              <w:t xml:space="preserve"> Assistance Available</w:t>
            </w:r>
            <w:r w:rsidR="0090212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41F26" w:rsidRPr="00D37F3C" w:rsidRDefault="00C41F26" w:rsidP="00C41F26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</w:p>
          <w:p w:rsidR="00C41F26" w:rsidRPr="00D37F3C" w:rsidRDefault="00C41F26" w:rsidP="004B1309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  <w:r w:rsidRPr="00D37F3C">
              <w:rPr>
                <w:rFonts w:ascii="Arial" w:hAnsi="Arial" w:cs="Arial"/>
                <w:sz w:val="22"/>
                <w:szCs w:val="22"/>
              </w:rPr>
              <w:t xml:space="preserve">The Ohio Development Services Agency and </w:t>
            </w:r>
            <w:r w:rsidR="000F3787">
              <w:rPr>
                <w:rFonts w:ascii="Arial" w:hAnsi="Arial" w:cs="Arial"/>
                <w:sz w:val="22"/>
                <w:szCs w:val="22"/>
              </w:rPr>
              <w:t>Community Action Commission of Erie, Huron &amp; Richland Counties, Inc., (CACEHR),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39D" w:rsidRPr="00D37F3C">
              <w:rPr>
                <w:rFonts w:ascii="Arial" w:hAnsi="Arial" w:cs="Arial"/>
                <w:sz w:val="22"/>
                <w:szCs w:val="22"/>
              </w:rPr>
              <w:t xml:space="preserve">want to let Ohioans know that </w:t>
            </w:r>
            <w:r w:rsidR="007F6165" w:rsidRPr="00D37F3C">
              <w:rPr>
                <w:rFonts w:ascii="Arial" w:hAnsi="Arial" w:cs="Arial"/>
                <w:sz w:val="22"/>
                <w:szCs w:val="22"/>
              </w:rPr>
              <w:t xml:space="preserve">assistance is available to help with their heating bills this winter. The 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Home Energy Assistance </w:t>
            </w:r>
            <w:r w:rsidR="004B1309" w:rsidRPr="00D37F3C">
              <w:rPr>
                <w:rFonts w:ascii="Arial" w:hAnsi="Arial" w:cs="Arial"/>
                <w:sz w:val="22"/>
                <w:szCs w:val="22"/>
              </w:rPr>
              <w:t>Winter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Crisis Program</w:t>
            </w:r>
            <w:r w:rsidR="00D55744" w:rsidRPr="00D37F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2AE" w:rsidRPr="00D37F3C">
              <w:rPr>
                <w:rFonts w:ascii="Arial" w:hAnsi="Arial" w:cs="Arial"/>
                <w:sz w:val="22"/>
                <w:szCs w:val="22"/>
              </w:rPr>
              <w:t xml:space="preserve">starts November 1 and </w:t>
            </w:r>
            <w:r w:rsidR="00D55744" w:rsidRPr="00D37F3C">
              <w:rPr>
                <w:rFonts w:ascii="Arial" w:hAnsi="Arial" w:cs="Arial"/>
                <w:sz w:val="22"/>
                <w:szCs w:val="22"/>
              </w:rPr>
              <w:t>helps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28CA" w:rsidRPr="00D37F3C">
              <w:rPr>
                <w:rFonts w:ascii="Arial" w:hAnsi="Arial" w:cs="Arial"/>
                <w:sz w:val="22"/>
                <w:szCs w:val="22"/>
              </w:rPr>
              <w:t>income-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eligible Ohioans pay </w:t>
            </w:r>
            <w:r w:rsidR="004B1309" w:rsidRPr="00D37F3C">
              <w:rPr>
                <w:rFonts w:ascii="Arial" w:hAnsi="Arial" w:cs="Arial"/>
                <w:sz w:val="22"/>
                <w:szCs w:val="22"/>
              </w:rPr>
              <w:t>the</w:t>
            </w:r>
            <w:r w:rsidR="000528CA" w:rsidRPr="00D37F3C">
              <w:rPr>
                <w:rFonts w:ascii="Arial" w:hAnsi="Arial" w:cs="Arial"/>
                <w:sz w:val="22"/>
                <w:szCs w:val="22"/>
              </w:rPr>
              <w:t>ir</w:t>
            </w:r>
            <w:r w:rsidR="004B1309" w:rsidRPr="00D37F3C">
              <w:rPr>
                <w:rFonts w:ascii="Arial" w:hAnsi="Arial" w:cs="Arial"/>
                <w:sz w:val="22"/>
                <w:szCs w:val="22"/>
              </w:rPr>
              <w:t xml:space="preserve"> heating</w:t>
            </w:r>
            <w:r w:rsidR="000528CA" w:rsidRPr="00D37F3C">
              <w:rPr>
                <w:rFonts w:ascii="Arial" w:hAnsi="Arial" w:cs="Arial"/>
                <w:sz w:val="22"/>
                <w:szCs w:val="22"/>
              </w:rPr>
              <w:t xml:space="preserve"> bills and can</w:t>
            </w:r>
            <w:r w:rsidR="004B1309" w:rsidRPr="00D37F3C">
              <w:rPr>
                <w:rFonts w:ascii="Arial" w:hAnsi="Arial" w:cs="Arial"/>
                <w:sz w:val="22"/>
                <w:szCs w:val="22"/>
              </w:rPr>
              <w:t xml:space="preserve"> assist with fuel tank placement, fuel tank testing</w:t>
            </w:r>
            <w:r w:rsidR="006D4B59" w:rsidRPr="00D37F3C">
              <w:rPr>
                <w:rFonts w:ascii="Arial" w:hAnsi="Arial" w:cs="Arial"/>
                <w:sz w:val="22"/>
                <w:szCs w:val="22"/>
              </w:rPr>
              <w:t>,</w:t>
            </w:r>
            <w:r w:rsidR="004B1309" w:rsidRPr="00D37F3C">
              <w:rPr>
                <w:rFonts w:ascii="Arial" w:hAnsi="Arial" w:cs="Arial"/>
                <w:sz w:val="22"/>
                <w:szCs w:val="22"/>
              </w:rPr>
              <w:t xml:space="preserve"> and furnace repair. 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The program </w:t>
            </w:r>
            <w:r w:rsidR="00B171E0" w:rsidRPr="00D37F3C">
              <w:rPr>
                <w:rFonts w:ascii="Arial" w:hAnsi="Arial" w:cs="Arial"/>
                <w:sz w:val="22"/>
                <w:szCs w:val="22"/>
              </w:rPr>
              <w:t xml:space="preserve">will be open 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until </w:t>
            </w:r>
            <w:r w:rsidR="004B1309" w:rsidRPr="00D37F3C">
              <w:rPr>
                <w:rFonts w:ascii="Arial" w:hAnsi="Arial" w:cs="Arial"/>
                <w:sz w:val="22"/>
                <w:szCs w:val="22"/>
              </w:rPr>
              <w:t>March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31, 20</w:t>
            </w:r>
            <w:r w:rsidR="006B733A" w:rsidRPr="00D37F3C">
              <w:rPr>
                <w:rFonts w:ascii="Arial" w:hAnsi="Arial" w:cs="Arial"/>
                <w:sz w:val="22"/>
                <w:szCs w:val="22"/>
              </w:rPr>
              <w:t>2</w:t>
            </w:r>
            <w:r w:rsidR="00CE5B6B">
              <w:rPr>
                <w:rFonts w:ascii="Arial" w:hAnsi="Arial" w:cs="Arial"/>
                <w:sz w:val="22"/>
                <w:szCs w:val="22"/>
              </w:rPr>
              <w:t>2</w:t>
            </w:r>
            <w:r w:rsidRPr="00D37F3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1F26" w:rsidRPr="00D37F3C" w:rsidRDefault="00C41F26" w:rsidP="00C41F26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</w:p>
          <w:p w:rsidR="001931CD" w:rsidRPr="00D37F3C" w:rsidRDefault="00D15619" w:rsidP="00D15619">
            <w:pPr>
              <w:ind w:left="180" w:right="360"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0" w:name="_Hlk54271454"/>
            <w:r w:rsidRPr="00D37F3C">
              <w:rPr>
                <w:rFonts w:ascii="Arial" w:hAnsi="Arial" w:cs="Arial"/>
                <w:sz w:val="22"/>
                <w:szCs w:val="22"/>
              </w:rPr>
              <w:t>“As the pandemic continues into th</w:t>
            </w:r>
            <w:r w:rsidR="00260CD1" w:rsidRPr="00D37F3C">
              <w:rPr>
                <w:rFonts w:ascii="Arial" w:hAnsi="Arial" w:cs="Arial"/>
                <w:sz w:val="22"/>
                <w:szCs w:val="22"/>
              </w:rPr>
              <w:t>e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winter, it is important that Ohioans </w:t>
            </w:r>
            <w:r w:rsidR="0050269D">
              <w:rPr>
                <w:rFonts w:ascii="Arial" w:hAnsi="Arial" w:cs="Arial"/>
                <w:sz w:val="22"/>
                <w:szCs w:val="22"/>
              </w:rPr>
              <w:t>can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stay safe and warm in their homes,” said Lydia Mihalik, director of the Ohio Development Services Agency. “The Winter Crisis Program </w:t>
            </w:r>
            <w:r w:rsidR="00260CD1" w:rsidRPr="00D37F3C">
              <w:rPr>
                <w:rFonts w:ascii="Arial" w:hAnsi="Arial" w:cs="Arial"/>
                <w:sz w:val="22"/>
                <w:szCs w:val="22"/>
              </w:rPr>
              <w:t>can</w:t>
            </w:r>
            <w:r w:rsidR="00A97E78" w:rsidRPr="00D37F3C">
              <w:rPr>
                <w:rFonts w:ascii="Arial" w:hAnsi="Arial" w:cs="Arial"/>
                <w:sz w:val="22"/>
                <w:szCs w:val="22"/>
              </w:rPr>
              <w:t xml:space="preserve"> ease the burdens </w:t>
            </w:r>
            <w:r w:rsidR="00152452" w:rsidRPr="00D37F3C">
              <w:rPr>
                <w:rFonts w:ascii="Arial" w:hAnsi="Arial" w:cs="Arial"/>
                <w:sz w:val="22"/>
                <w:szCs w:val="22"/>
              </w:rPr>
              <w:t>of</w:t>
            </w:r>
            <w:r w:rsidR="00A97E78" w:rsidRPr="00D37F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CD1" w:rsidRPr="00D37F3C">
              <w:rPr>
                <w:rFonts w:ascii="Arial" w:hAnsi="Arial" w:cs="Arial"/>
                <w:sz w:val="22"/>
                <w:szCs w:val="22"/>
              </w:rPr>
              <w:t>families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. Ohioans who need help with their energy bills </w:t>
            </w:r>
            <w:r w:rsidR="00260CD1" w:rsidRPr="00D37F3C">
              <w:rPr>
                <w:rFonts w:ascii="Arial" w:hAnsi="Arial" w:cs="Arial"/>
                <w:sz w:val="22"/>
                <w:szCs w:val="22"/>
              </w:rPr>
              <w:t>should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visit energyhelp.ohio.gov to learn more about the program</w:t>
            </w:r>
            <w:r w:rsidR="00260CD1" w:rsidRPr="00D37F3C">
              <w:rPr>
                <w:rFonts w:ascii="Arial" w:hAnsi="Arial" w:cs="Arial"/>
                <w:sz w:val="22"/>
                <w:szCs w:val="22"/>
              </w:rPr>
              <w:t>.</w:t>
            </w:r>
            <w:r w:rsidR="00A97E78" w:rsidRPr="00D37F3C">
              <w:rPr>
                <w:rFonts w:ascii="Arial" w:hAnsi="Arial" w:cs="Arial"/>
                <w:sz w:val="22"/>
                <w:szCs w:val="22"/>
              </w:rPr>
              <w:t xml:space="preserve">” </w:t>
            </w:r>
          </w:p>
          <w:bookmarkEnd w:id="0"/>
          <w:p w:rsidR="001931CD" w:rsidRPr="00D37F3C" w:rsidRDefault="001931CD" w:rsidP="001931CD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</w:p>
          <w:p w:rsidR="001931CD" w:rsidRPr="00D37F3C" w:rsidRDefault="001931CD" w:rsidP="001931CD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  <w:r w:rsidRPr="00D37F3C">
              <w:rPr>
                <w:rFonts w:ascii="Arial" w:hAnsi="Arial" w:cs="Arial"/>
                <w:sz w:val="22"/>
                <w:szCs w:val="22"/>
              </w:rPr>
              <w:t xml:space="preserve">More than </w:t>
            </w:r>
            <w:r w:rsidR="002A20EE">
              <w:rPr>
                <w:rFonts w:ascii="Arial" w:hAnsi="Arial" w:cs="Arial"/>
                <w:sz w:val="22"/>
                <w:szCs w:val="22"/>
              </w:rPr>
              <w:t>1,800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families in </w:t>
            </w:r>
            <w:r w:rsidR="000F3787">
              <w:rPr>
                <w:rFonts w:ascii="Arial" w:hAnsi="Arial" w:cs="Arial"/>
                <w:sz w:val="22"/>
                <w:szCs w:val="22"/>
              </w:rPr>
              <w:t>Erie, Huron</w:t>
            </w:r>
            <w:r w:rsidR="0050269D">
              <w:rPr>
                <w:rFonts w:ascii="Arial" w:hAnsi="Arial" w:cs="Arial"/>
                <w:sz w:val="22"/>
                <w:szCs w:val="22"/>
              </w:rPr>
              <w:t>,</w:t>
            </w:r>
            <w:r w:rsidR="000F3787">
              <w:rPr>
                <w:rFonts w:ascii="Arial" w:hAnsi="Arial" w:cs="Arial"/>
                <w:sz w:val="22"/>
                <w:szCs w:val="22"/>
              </w:rPr>
              <w:t xml:space="preserve"> and Richland Counties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were assisted through the Home Energy Assistance Winter Crisis Program from November 1, 20</w:t>
            </w:r>
            <w:r w:rsidR="00CE5B6B">
              <w:rPr>
                <w:rFonts w:ascii="Arial" w:hAnsi="Arial" w:cs="Arial"/>
                <w:sz w:val="22"/>
                <w:szCs w:val="22"/>
              </w:rPr>
              <w:t>20</w:t>
            </w:r>
            <w:r w:rsidR="00F828EA" w:rsidRPr="00D37F3C">
              <w:rPr>
                <w:rFonts w:ascii="Arial" w:hAnsi="Arial" w:cs="Arial"/>
                <w:sz w:val="22"/>
                <w:szCs w:val="22"/>
              </w:rPr>
              <w:t xml:space="preserve">, to </w:t>
            </w:r>
            <w:r w:rsidRPr="00D37F3C">
              <w:rPr>
                <w:rFonts w:ascii="Arial" w:hAnsi="Arial" w:cs="Arial"/>
                <w:sz w:val="22"/>
                <w:szCs w:val="22"/>
              </w:rPr>
              <w:t>Ma</w:t>
            </w:r>
            <w:r w:rsidR="009509DC">
              <w:rPr>
                <w:rFonts w:ascii="Arial" w:hAnsi="Arial" w:cs="Arial"/>
                <w:sz w:val="22"/>
                <w:szCs w:val="22"/>
              </w:rPr>
              <w:t>y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31, 202</w:t>
            </w:r>
            <w:r w:rsidR="00CE5B6B">
              <w:rPr>
                <w:rFonts w:ascii="Arial" w:hAnsi="Arial" w:cs="Arial"/>
                <w:sz w:val="22"/>
                <w:szCs w:val="22"/>
              </w:rPr>
              <w:t>1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931CD" w:rsidRPr="00D37F3C" w:rsidRDefault="001931CD" w:rsidP="00C41F26">
            <w:pPr>
              <w:ind w:left="180" w:right="3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C41F26" w:rsidRPr="00D37F3C" w:rsidRDefault="000F3787" w:rsidP="00C41F26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Action Commission of Erie, Huron &amp; Richland Counties, Inc. is</w:t>
            </w:r>
            <w:r w:rsidR="003D67BA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 xml:space="preserve">edicated to helping our communities by promoting self-sufficiency and improving the quality of life of those in need. </w:t>
            </w:r>
          </w:p>
          <w:p w:rsidR="00C41F26" w:rsidRPr="00D37F3C" w:rsidRDefault="00C41F26" w:rsidP="00C41F26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</w:p>
          <w:p w:rsidR="00C41F26" w:rsidRPr="00D37F3C" w:rsidRDefault="00C41F26" w:rsidP="00C41F26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  <w:r w:rsidRPr="00D37F3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36A0E" w:rsidRPr="00D37F3C">
              <w:rPr>
                <w:rFonts w:ascii="Arial" w:hAnsi="Arial" w:cs="Arial"/>
                <w:sz w:val="22"/>
                <w:szCs w:val="22"/>
              </w:rPr>
              <w:t>Winter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Crisis Program assists low-income households </w:t>
            </w:r>
            <w:r w:rsidR="00C36A0E" w:rsidRPr="00D37F3C">
              <w:rPr>
                <w:rFonts w:ascii="Arial" w:hAnsi="Arial" w:cs="Arial"/>
                <w:sz w:val="22"/>
                <w:szCs w:val="22"/>
              </w:rPr>
              <w:t xml:space="preserve">that have been disconnected (or have a pending disconnection notice), need to establish new service, need to pay to transfer </w:t>
            </w:r>
            <w:proofErr w:type="gramStart"/>
            <w:r w:rsidR="00C36A0E" w:rsidRPr="00D37F3C">
              <w:rPr>
                <w:rFonts w:ascii="Arial" w:hAnsi="Arial" w:cs="Arial"/>
                <w:sz w:val="22"/>
                <w:szCs w:val="22"/>
              </w:rPr>
              <w:t>service,  have</w:t>
            </w:r>
            <w:proofErr w:type="gramEnd"/>
            <w:r w:rsidR="00C36A0E" w:rsidRPr="00D37F3C">
              <w:rPr>
                <w:rFonts w:ascii="Arial" w:hAnsi="Arial" w:cs="Arial"/>
                <w:sz w:val="22"/>
                <w:szCs w:val="22"/>
              </w:rPr>
              <w:t xml:space="preserve"> 25% (or less) of bulk fuel supply remaining</w:t>
            </w:r>
            <w:r w:rsidR="00D607DC" w:rsidRPr="00D37F3C">
              <w:rPr>
                <w:rFonts w:ascii="Arial" w:hAnsi="Arial" w:cs="Arial"/>
                <w:sz w:val="22"/>
                <w:szCs w:val="22"/>
              </w:rPr>
              <w:t xml:space="preserve">, or have a household member </w:t>
            </w:r>
            <w:r w:rsidR="002D0259" w:rsidRPr="00D37F3C">
              <w:rPr>
                <w:rFonts w:ascii="Arial" w:hAnsi="Arial" w:cs="Arial"/>
                <w:sz w:val="22"/>
                <w:szCs w:val="22"/>
              </w:rPr>
              <w:t xml:space="preserve">who </w:t>
            </w:r>
            <w:r w:rsidR="00D607DC" w:rsidRPr="00D37F3C">
              <w:rPr>
                <w:rFonts w:ascii="Arial" w:hAnsi="Arial" w:cs="Arial"/>
                <w:sz w:val="22"/>
                <w:szCs w:val="22"/>
              </w:rPr>
              <w:t>was diagnosed with COVID-19 in 2020 to help</w:t>
            </w:r>
            <w:r w:rsidR="0007010A" w:rsidRPr="00D37F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A0E" w:rsidRPr="00D37F3C">
              <w:rPr>
                <w:rFonts w:ascii="Arial" w:hAnsi="Arial" w:cs="Arial"/>
                <w:sz w:val="22"/>
                <w:szCs w:val="22"/>
              </w:rPr>
              <w:t>stay warm this winter.</w:t>
            </w:r>
          </w:p>
          <w:p w:rsidR="00C41F26" w:rsidRPr="00D37F3C" w:rsidRDefault="00C41F26" w:rsidP="00C41F26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</w:p>
          <w:p w:rsidR="00C41F26" w:rsidRPr="00D37F3C" w:rsidRDefault="00C41F26" w:rsidP="00C41F26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  <w:r w:rsidRPr="00D37F3C">
              <w:rPr>
                <w:rFonts w:ascii="Arial" w:hAnsi="Arial" w:cs="Arial"/>
                <w:sz w:val="22"/>
                <w:szCs w:val="22"/>
              </w:rPr>
              <w:t xml:space="preserve">Ohioans can visit </w:t>
            </w:r>
            <w:r w:rsidR="00764CC5" w:rsidRPr="00D37F3C">
              <w:rPr>
                <w:rFonts w:ascii="Arial" w:hAnsi="Arial" w:cs="Arial"/>
                <w:sz w:val="22"/>
                <w:szCs w:val="22"/>
                <w:u w:val="single"/>
              </w:rPr>
              <w:t>www.</w:t>
            </w:r>
            <w:r w:rsidRPr="00D37F3C">
              <w:rPr>
                <w:rFonts w:ascii="Arial" w:hAnsi="Arial" w:cs="Arial"/>
                <w:sz w:val="22"/>
                <w:szCs w:val="22"/>
                <w:u w:val="single"/>
              </w:rPr>
              <w:t>energyhelp.ohio.gov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to start their application prior to their required </w:t>
            </w:r>
            <w:r w:rsidR="00D607DC" w:rsidRPr="00D37F3C">
              <w:rPr>
                <w:rFonts w:ascii="Arial" w:hAnsi="Arial" w:cs="Arial"/>
                <w:sz w:val="22"/>
                <w:szCs w:val="22"/>
              </w:rPr>
              <w:t>agency interview with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787">
              <w:rPr>
                <w:rFonts w:ascii="Arial" w:hAnsi="Arial" w:cs="Arial"/>
                <w:sz w:val="22"/>
                <w:szCs w:val="22"/>
              </w:rPr>
              <w:t>CACEHR.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To schedule an appointment call, </w:t>
            </w:r>
            <w:r w:rsidR="000F3787" w:rsidRPr="000F3787">
              <w:rPr>
                <w:rFonts w:ascii="Arial" w:hAnsi="Arial" w:cs="Arial"/>
                <w:sz w:val="22"/>
                <w:szCs w:val="22"/>
              </w:rPr>
              <w:t>(419)901-9539.</w:t>
            </w:r>
          </w:p>
          <w:p w:rsidR="00C41F26" w:rsidRPr="00D37F3C" w:rsidRDefault="00C41F26" w:rsidP="00C41F26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</w:p>
          <w:p w:rsidR="00C41F26" w:rsidRPr="00D37F3C" w:rsidRDefault="00C41F26" w:rsidP="00260CD1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  <w:r w:rsidRPr="00D37F3C">
              <w:rPr>
                <w:rFonts w:ascii="Arial" w:hAnsi="Arial" w:cs="Arial"/>
                <w:sz w:val="22"/>
                <w:szCs w:val="22"/>
              </w:rPr>
              <w:t xml:space="preserve">Eligible households </w:t>
            </w:r>
            <w:r w:rsidR="00C36A0E" w:rsidRPr="00D37F3C">
              <w:rPr>
                <w:rFonts w:ascii="Arial" w:hAnsi="Arial" w:cs="Arial"/>
                <w:sz w:val="22"/>
                <w:szCs w:val="22"/>
              </w:rPr>
              <w:t>can receive a payment for the</w:t>
            </w:r>
            <w:r w:rsidR="006D3D7F" w:rsidRPr="00D37F3C">
              <w:rPr>
                <w:rFonts w:ascii="Arial" w:hAnsi="Arial" w:cs="Arial"/>
                <w:sz w:val="22"/>
                <w:szCs w:val="22"/>
              </w:rPr>
              <w:t>ir</w:t>
            </w:r>
            <w:r w:rsidR="00C36A0E" w:rsidRPr="00D37F3C">
              <w:rPr>
                <w:rFonts w:ascii="Arial" w:hAnsi="Arial" w:cs="Arial"/>
                <w:sz w:val="22"/>
                <w:szCs w:val="22"/>
              </w:rPr>
              <w:t xml:space="preserve"> main heating source and/or the</w:t>
            </w:r>
            <w:r w:rsidR="006D3D7F" w:rsidRPr="00D37F3C">
              <w:rPr>
                <w:rFonts w:ascii="Arial" w:hAnsi="Arial" w:cs="Arial"/>
                <w:sz w:val="22"/>
                <w:szCs w:val="22"/>
              </w:rPr>
              <w:t>ir</w:t>
            </w:r>
            <w:r w:rsidR="00C36A0E" w:rsidRPr="00D37F3C">
              <w:rPr>
                <w:rFonts w:ascii="Arial" w:hAnsi="Arial" w:cs="Arial"/>
                <w:sz w:val="22"/>
                <w:szCs w:val="22"/>
              </w:rPr>
              <w:t xml:space="preserve"> secondary heating source (electric). The program can also assist with fuel tank placement, fuel tank testing</w:t>
            </w:r>
            <w:r w:rsidR="00B600A9" w:rsidRPr="00D37F3C">
              <w:rPr>
                <w:rFonts w:ascii="Arial" w:hAnsi="Arial" w:cs="Arial"/>
                <w:sz w:val="22"/>
                <w:szCs w:val="22"/>
              </w:rPr>
              <w:t>,</w:t>
            </w:r>
            <w:r w:rsidR="00C36A0E" w:rsidRPr="00D37F3C">
              <w:rPr>
                <w:rFonts w:ascii="Arial" w:hAnsi="Arial" w:cs="Arial"/>
                <w:sz w:val="22"/>
                <w:szCs w:val="22"/>
              </w:rPr>
              <w:t xml:space="preserve"> and furnace repair.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Ohioans must have a gross income at or below 175</w:t>
            </w:r>
            <w:r w:rsidR="00A75CF0" w:rsidRPr="00D37F3C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Pr="00D37F3C">
              <w:rPr>
                <w:rFonts w:ascii="Arial" w:hAnsi="Arial" w:cs="Arial"/>
                <w:sz w:val="22"/>
                <w:szCs w:val="22"/>
              </w:rPr>
              <w:t>of the federal poverty guidelines to qualify for assistance. For a family of four</w:t>
            </w:r>
            <w:r w:rsidR="00B600A9" w:rsidRPr="00D37F3C">
              <w:rPr>
                <w:rFonts w:ascii="Arial" w:hAnsi="Arial" w:cs="Arial"/>
                <w:sz w:val="22"/>
                <w:szCs w:val="22"/>
              </w:rPr>
              <w:t>,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the annual income must be at or below $</w:t>
            </w:r>
            <w:r w:rsidR="00D607DC" w:rsidRPr="00D37F3C">
              <w:rPr>
                <w:rFonts w:ascii="Arial" w:hAnsi="Arial" w:cs="Arial"/>
                <w:sz w:val="22"/>
                <w:szCs w:val="22"/>
              </w:rPr>
              <w:t>4</w:t>
            </w:r>
            <w:r w:rsidR="00CE5B6B">
              <w:rPr>
                <w:rFonts w:ascii="Arial" w:hAnsi="Arial" w:cs="Arial"/>
                <w:sz w:val="22"/>
                <w:szCs w:val="22"/>
              </w:rPr>
              <w:t>6,375</w:t>
            </w:r>
            <w:r w:rsidRPr="00D37F3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1F26" w:rsidRPr="00D37F3C" w:rsidRDefault="00C41F26" w:rsidP="00C41F26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</w:p>
          <w:p w:rsidR="00C41F26" w:rsidRPr="00D37F3C" w:rsidRDefault="00C41F26" w:rsidP="00BF549C">
            <w:pPr>
              <w:ind w:left="180" w:right="360"/>
              <w:rPr>
                <w:rFonts w:ascii="Arial" w:hAnsi="Arial" w:cs="Arial"/>
                <w:sz w:val="22"/>
                <w:szCs w:val="22"/>
              </w:rPr>
            </w:pPr>
            <w:r w:rsidRPr="00D37F3C">
              <w:rPr>
                <w:rFonts w:ascii="Arial" w:hAnsi="Arial" w:cs="Arial"/>
                <w:sz w:val="22"/>
                <w:szCs w:val="22"/>
              </w:rPr>
              <w:t xml:space="preserve">For more information about the features of the </w:t>
            </w:r>
            <w:r w:rsidR="00764CC5" w:rsidRPr="00D37F3C">
              <w:rPr>
                <w:rFonts w:ascii="Arial" w:hAnsi="Arial" w:cs="Arial"/>
                <w:sz w:val="22"/>
                <w:szCs w:val="22"/>
              </w:rPr>
              <w:t xml:space="preserve">Winter </w:t>
            </w:r>
            <w:r w:rsidRPr="00D37F3C">
              <w:rPr>
                <w:rFonts w:ascii="Arial" w:hAnsi="Arial" w:cs="Arial"/>
                <w:sz w:val="22"/>
                <w:szCs w:val="22"/>
              </w:rPr>
              <w:t>Crisis Program locally</w:t>
            </w:r>
            <w:r w:rsidR="00A75CF0" w:rsidRPr="00D37F3C">
              <w:rPr>
                <w:rFonts w:ascii="Arial" w:hAnsi="Arial" w:cs="Arial"/>
                <w:sz w:val="22"/>
                <w:szCs w:val="22"/>
              </w:rPr>
              <w:t xml:space="preserve"> and what is needed to apply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, contact </w:t>
            </w:r>
            <w:r w:rsidR="000F3787">
              <w:rPr>
                <w:rFonts w:ascii="Arial" w:hAnsi="Arial" w:cs="Arial"/>
                <w:sz w:val="22"/>
                <w:szCs w:val="22"/>
              </w:rPr>
              <w:t>Tim Brown or Ike Hickman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0F3787">
              <w:rPr>
                <w:rFonts w:ascii="Arial" w:hAnsi="Arial" w:cs="Arial"/>
                <w:sz w:val="22"/>
                <w:szCs w:val="22"/>
              </w:rPr>
              <w:t xml:space="preserve">(419)626-4320. </w:t>
            </w:r>
            <w:r w:rsidRPr="00D37F3C">
              <w:rPr>
                <w:rFonts w:ascii="Arial" w:hAnsi="Arial" w:cs="Arial"/>
                <w:sz w:val="22"/>
                <w:szCs w:val="22"/>
              </w:rPr>
              <w:t xml:space="preserve"> Additional information can also be found at </w:t>
            </w:r>
            <w:hyperlink r:id="rId16" w:history="1">
              <w:r w:rsidR="00BC04CB" w:rsidRPr="00D37F3C">
                <w:rPr>
                  <w:rStyle w:val="Hyperlink"/>
                  <w:rFonts w:ascii="Arial" w:hAnsi="Arial" w:cs="Arial"/>
                  <w:sz w:val="22"/>
                  <w:szCs w:val="22"/>
                </w:rPr>
                <w:t>www.energyhelp.ohio.gov</w:t>
              </w:r>
            </w:hyperlink>
            <w:r w:rsidR="00D607DC" w:rsidRPr="00D37F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1F26" w:rsidRPr="005E421B" w:rsidTr="46A6FEC1">
        <w:trPr>
          <w:jc w:val="center"/>
        </w:trPr>
        <w:tc>
          <w:tcPr>
            <w:tcW w:w="10080" w:type="dxa"/>
            <w:tcMar>
              <w:top w:w="0" w:type="dxa"/>
            </w:tcMar>
          </w:tcPr>
          <w:p w:rsidR="00C41F26" w:rsidRPr="005E421B" w:rsidRDefault="00C41F26" w:rsidP="00C41F26">
            <w:pPr>
              <w:ind w:left="180" w:right="3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C41F26" w:rsidRPr="005E421B" w:rsidTr="46A6FEC1">
        <w:trPr>
          <w:jc w:val="center"/>
        </w:trPr>
        <w:tc>
          <w:tcPr>
            <w:tcW w:w="10080" w:type="dxa"/>
          </w:tcPr>
          <w:p w:rsidR="00C41F26" w:rsidRPr="000511A9" w:rsidRDefault="00C41F26" w:rsidP="00C41F2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511A9">
              <w:rPr>
                <w:rFonts w:ascii="Arial" w:hAnsi="Arial" w:cs="Arial"/>
                <w:sz w:val="16"/>
                <w:szCs w:val="22"/>
              </w:rPr>
              <w:t>Office of Communications &amp; Market</w:t>
            </w:r>
            <w:r>
              <w:rPr>
                <w:rFonts w:ascii="Arial" w:hAnsi="Arial" w:cs="Arial"/>
                <w:sz w:val="16"/>
                <w:szCs w:val="22"/>
              </w:rPr>
              <w:t>ing</w:t>
            </w:r>
            <w:r w:rsidRPr="000511A9">
              <w:rPr>
                <w:rFonts w:ascii="Arial" w:hAnsi="Arial" w:cs="Arial"/>
                <w:sz w:val="16"/>
                <w:szCs w:val="22"/>
              </w:rPr>
              <w:t xml:space="preserve"> • 77 South High Street • Columbus, Ohio 43215 • U.S.A. • 614 | 466-2609</w:t>
            </w:r>
          </w:p>
          <w:p w:rsidR="00C41F26" w:rsidRPr="005E421B" w:rsidRDefault="00C41F26" w:rsidP="00C41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1A9">
              <w:rPr>
                <w:rFonts w:ascii="Arial" w:hAnsi="Arial" w:cs="Arial"/>
                <w:sz w:val="12"/>
                <w:szCs w:val="12"/>
              </w:rPr>
              <w:t>The State of Ohio is an Equal Opportunity Employer and Provider of ADA.</w:t>
            </w:r>
          </w:p>
        </w:tc>
      </w:tr>
    </w:tbl>
    <w:p w:rsidR="00A675AA" w:rsidRPr="005E421B" w:rsidRDefault="00A675AA" w:rsidP="00D15619">
      <w:pPr>
        <w:rPr>
          <w:rFonts w:ascii="Arial" w:hAnsi="Arial" w:cs="Arial"/>
          <w:sz w:val="22"/>
          <w:szCs w:val="22"/>
        </w:rPr>
      </w:pPr>
    </w:p>
    <w:sectPr w:rsidR="00A675AA" w:rsidRPr="005E421B" w:rsidSect="00934D86">
      <w:pgSz w:w="12240" w:h="15840"/>
      <w:pgMar w:top="547" w:right="1080" w:bottom="5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A44" w:rsidRDefault="00480A44" w:rsidP="00DD140D">
      <w:r>
        <w:separator/>
      </w:r>
    </w:p>
  </w:endnote>
  <w:endnote w:type="continuationSeparator" w:id="0">
    <w:p w:rsidR="00480A44" w:rsidRDefault="00480A44" w:rsidP="00DD140D">
      <w:r>
        <w:continuationSeparator/>
      </w:r>
    </w:p>
  </w:endnote>
  <w:endnote w:type="continuationNotice" w:id="1">
    <w:p w:rsidR="00480A44" w:rsidRDefault="00480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A44" w:rsidRDefault="00480A44" w:rsidP="00DD140D">
      <w:r>
        <w:separator/>
      </w:r>
    </w:p>
  </w:footnote>
  <w:footnote w:type="continuationSeparator" w:id="0">
    <w:p w:rsidR="00480A44" w:rsidRDefault="00480A44" w:rsidP="00DD140D">
      <w:r>
        <w:continuationSeparator/>
      </w:r>
    </w:p>
  </w:footnote>
  <w:footnote w:type="continuationNotice" w:id="1">
    <w:p w:rsidR="00480A44" w:rsidRDefault="00480A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LY0NzczNbOwMDBW0lEKTi0uzszPAykwrQUABwzgiywAAAA="/>
  </w:docVars>
  <w:rsids>
    <w:rsidRoot w:val="00120322"/>
    <w:rsid w:val="00016818"/>
    <w:rsid w:val="00016B6E"/>
    <w:rsid w:val="000358B3"/>
    <w:rsid w:val="00045857"/>
    <w:rsid w:val="000528CA"/>
    <w:rsid w:val="00052E67"/>
    <w:rsid w:val="0005336F"/>
    <w:rsid w:val="00053FBA"/>
    <w:rsid w:val="00057DA7"/>
    <w:rsid w:val="0006389D"/>
    <w:rsid w:val="0007010A"/>
    <w:rsid w:val="00070E2C"/>
    <w:rsid w:val="000715AD"/>
    <w:rsid w:val="00073651"/>
    <w:rsid w:val="000774EB"/>
    <w:rsid w:val="000F3787"/>
    <w:rsid w:val="000F73C8"/>
    <w:rsid w:val="001019FD"/>
    <w:rsid w:val="0011665A"/>
    <w:rsid w:val="00120322"/>
    <w:rsid w:val="00141843"/>
    <w:rsid w:val="00147327"/>
    <w:rsid w:val="00152452"/>
    <w:rsid w:val="00175E09"/>
    <w:rsid w:val="0018556B"/>
    <w:rsid w:val="001931CD"/>
    <w:rsid w:val="001971D6"/>
    <w:rsid w:val="001A070C"/>
    <w:rsid w:val="001E1233"/>
    <w:rsid w:val="001F1F81"/>
    <w:rsid w:val="00215DAD"/>
    <w:rsid w:val="0022236D"/>
    <w:rsid w:val="00245E28"/>
    <w:rsid w:val="002532B6"/>
    <w:rsid w:val="00260CD1"/>
    <w:rsid w:val="002665D4"/>
    <w:rsid w:val="00266D24"/>
    <w:rsid w:val="00270BC8"/>
    <w:rsid w:val="002959AD"/>
    <w:rsid w:val="002A20EE"/>
    <w:rsid w:val="002C67C4"/>
    <w:rsid w:val="002D0259"/>
    <w:rsid w:val="002E784B"/>
    <w:rsid w:val="0030026B"/>
    <w:rsid w:val="00300502"/>
    <w:rsid w:val="003204CB"/>
    <w:rsid w:val="00357735"/>
    <w:rsid w:val="00357B8B"/>
    <w:rsid w:val="00392D22"/>
    <w:rsid w:val="003A0644"/>
    <w:rsid w:val="003B2723"/>
    <w:rsid w:val="003D67BA"/>
    <w:rsid w:val="003E2F95"/>
    <w:rsid w:val="004052DF"/>
    <w:rsid w:val="00416CC5"/>
    <w:rsid w:val="00420C1A"/>
    <w:rsid w:val="00423D5A"/>
    <w:rsid w:val="00437A58"/>
    <w:rsid w:val="00441A5B"/>
    <w:rsid w:val="004447CA"/>
    <w:rsid w:val="00457ECC"/>
    <w:rsid w:val="0047134E"/>
    <w:rsid w:val="00480A44"/>
    <w:rsid w:val="00493B06"/>
    <w:rsid w:val="004B0B68"/>
    <w:rsid w:val="004B1309"/>
    <w:rsid w:val="004D5E0C"/>
    <w:rsid w:val="0050269D"/>
    <w:rsid w:val="00503FB1"/>
    <w:rsid w:val="0050501C"/>
    <w:rsid w:val="0055644D"/>
    <w:rsid w:val="00556C04"/>
    <w:rsid w:val="005B73CA"/>
    <w:rsid w:val="005D3CA4"/>
    <w:rsid w:val="005D4A00"/>
    <w:rsid w:val="005E421B"/>
    <w:rsid w:val="00607745"/>
    <w:rsid w:val="0061539B"/>
    <w:rsid w:val="0061577F"/>
    <w:rsid w:val="006365B8"/>
    <w:rsid w:val="0064176F"/>
    <w:rsid w:val="0066709E"/>
    <w:rsid w:val="006747F3"/>
    <w:rsid w:val="00675E28"/>
    <w:rsid w:val="006B6FA2"/>
    <w:rsid w:val="006B733A"/>
    <w:rsid w:val="006C53EC"/>
    <w:rsid w:val="006C5692"/>
    <w:rsid w:val="006D3D7F"/>
    <w:rsid w:val="006D4B59"/>
    <w:rsid w:val="006D4E05"/>
    <w:rsid w:val="006F1E91"/>
    <w:rsid w:val="007056C9"/>
    <w:rsid w:val="00725959"/>
    <w:rsid w:val="00764CC5"/>
    <w:rsid w:val="00765A20"/>
    <w:rsid w:val="00765B2E"/>
    <w:rsid w:val="00774394"/>
    <w:rsid w:val="00782029"/>
    <w:rsid w:val="007A4F4A"/>
    <w:rsid w:val="007B7B52"/>
    <w:rsid w:val="007C0C78"/>
    <w:rsid w:val="007C1E3E"/>
    <w:rsid w:val="007D53D3"/>
    <w:rsid w:val="007E37DC"/>
    <w:rsid w:val="007F6165"/>
    <w:rsid w:val="007F76AB"/>
    <w:rsid w:val="0080340D"/>
    <w:rsid w:val="008078FA"/>
    <w:rsid w:val="00825C98"/>
    <w:rsid w:val="008374F3"/>
    <w:rsid w:val="008471B5"/>
    <w:rsid w:val="00865F73"/>
    <w:rsid w:val="00884094"/>
    <w:rsid w:val="008A3C17"/>
    <w:rsid w:val="008D39AD"/>
    <w:rsid w:val="008E149F"/>
    <w:rsid w:val="008E7FDF"/>
    <w:rsid w:val="0090212B"/>
    <w:rsid w:val="00932519"/>
    <w:rsid w:val="009509DC"/>
    <w:rsid w:val="00956368"/>
    <w:rsid w:val="00967BC8"/>
    <w:rsid w:val="00982961"/>
    <w:rsid w:val="00993A1F"/>
    <w:rsid w:val="00994218"/>
    <w:rsid w:val="009B35BE"/>
    <w:rsid w:val="009B6902"/>
    <w:rsid w:val="009C23D8"/>
    <w:rsid w:val="009F2E11"/>
    <w:rsid w:val="00A009C1"/>
    <w:rsid w:val="00A0400B"/>
    <w:rsid w:val="00A35288"/>
    <w:rsid w:val="00A445A3"/>
    <w:rsid w:val="00A675AA"/>
    <w:rsid w:val="00A75CF0"/>
    <w:rsid w:val="00A8473B"/>
    <w:rsid w:val="00A97E78"/>
    <w:rsid w:val="00AC5C9C"/>
    <w:rsid w:val="00B171E0"/>
    <w:rsid w:val="00B25C39"/>
    <w:rsid w:val="00B341D1"/>
    <w:rsid w:val="00B372E7"/>
    <w:rsid w:val="00B4474E"/>
    <w:rsid w:val="00B600A9"/>
    <w:rsid w:val="00B7092D"/>
    <w:rsid w:val="00B76EB5"/>
    <w:rsid w:val="00B822CC"/>
    <w:rsid w:val="00B8342E"/>
    <w:rsid w:val="00B9131D"/>
    <w:rsid w:val="00B960BE"/>
    <w:rsid w:val="00BA0ACD"/>
    <w:rsid w:val="00BA406E"/>
    <w:rsid w:val="00BB28F3"/>
    <w:rsid w:val="00BC04CB"/>
    <w:rsid w:val="00BF13CC"/>
    <w:rsid w:val="00BF549C"/>
    <w:rsid w:val="00C0039D"/>
    <w:rsid w:val="00C058FA"/>
    <w:rsid w:val="00C07852"/>
    <w:rsid w:val="00C36A0E"/>
    <w:rsid w:val="00C41F26"/>
    <w:rsid w:val="00C470A3"/>
    <w:rsid w:val="00C70004"/>
    <w:rsid w:val="00C74D93"/>
    <w:rsid w:val="00C74F1F"/>
    <w:rsid w:val="00CB758B"/>
    <w:rsid w:val="00CE5B6B"/>
    <w:rsid w:val="00D0278B"/>
    <w:rsid w:val="00D042B7"/>
    <w:rsid w:val="00D1436B"/>
    <w:rsid w:val="00D15619"/>
    <w:rsid w:val="00D17E11"/>
    <w:rsid w:val="00D345D2"/>
    <w:rsid w:val="00D37F3C"/>
    <w:rsid w:val="00D435EE"/>
    <w:rsid w:val="00D463B2"/>
    <w:rsid w:val="00D516C5"/>
    <w:rsid w:val="00D55744"/>
    <w:rsid w:val="00D607DC"/>
    <w:rsid w:val="00D61F23"/>
    <w:rsid w:val="00D62196"/>
    <w:rsid w:val="00D66252"/>
    <w:rsid w:val="00D8437A"/>
    <w:rsid w:val="00DA55B4"/>
    <w:rsid w:val="00DC15D5"/>
    <w:rsid w:val="00DD140D"/>
    <w:rsid w:val="00DE236B"/>
    <w:rsid w:val="00DF26C3"/>
    <w:rsid w:val="00DF39D9"/>
    <w:rsid w:val="00E05897"/>
    <w:rsid w:val="00E12EC6"/>
    <w:rsid w:val="00E3179E"/>
    <w:rsid w:val="00E56A43"/>
    <w:rsid w:val="00E72726"/>
    <w:rsid w:val="00E74A90"/>
    <w:rsid w:val="00EC3966"/>
    <w:rsid w:val="00ED32AE"/>
    <w:rsid w:val="00ED3468"/>
    <w:rsid w:val="00EF2388"/>
    <w:rsid w:val="00EF5E3C"/>
    <w:rsid w:val="00EF7C7B"/>
    <w:rsid w:val="00F11F59"/>
    <w:rsid w:val="00F220AA"/>
    <w:rsid w:val="00F42B82"/>
    <w:rsid w:val="00F828EA"/>
    <w:rsid w:val="00FC1A9A"/>
    <w:rsid w:val="00FC3153"/>
    <w:rsid w:val="00FE6310"/>
    <w:rsid w:val="2B22E7D5"/>
    <w:rsid w:val="46A6F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E1AB2"/>
  <w15:chartTrackingRefBased/>
  <w15:docId w15:val="{A37875E7-2E05-454B-AB88-A314D295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0322"/>
    <w:rPr>
      <w:color w:val="0000FF"/>
      <w:u w:val="single"/>
    </w:rPr>
  </w:style>
  <w:style w:type="paragraph" w:customStyle="1" w:styleId="Default">
    <w:name w:val="Default"/>
    <w:rsid w:val="001203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1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40D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C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7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3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3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development.ohio.gov/social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ergyhelp.ohio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ihickman@cacehr.org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development.ohio.gov/" TargetMode="External"/><Relationship Id="rId14" Type="http://schemas.openxmlformats.org/officeDocument/2006/relationships/hyperlink" Target="mailto:tbrown@cace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BE45839DF654B99063CB9C388297F" ma:contentTypeVersion="9" ma:contentTypeDescription="Create a new document." ma:contentTypeScope="" ma:versionID="2e765fa3fbd95600bf73252456e923a9">
  <xsd:schema xmlns:xsd="http://www.w3.org/2001/XMLSchema" xmlns:xs="http://www.w3.org/2001/XMLSchema" xmlns:p="http://schemas.microsoft.com/office/2006/metadata/properties" xmlns:ns2="444276ab-fddf-4fe7-828f-af9c5942cf90" xmlns:ns3="fb23e533-1b81-45cb-90fb-9c467dfb7042" targetNamespace="http://schemas.microsoft.com/office/2006/metadata/properties" ma:root="true" ma:fieldsID="cc691d9d29b9c782e87c4dec239d2d72" ns2:_="" ns3:_="">
    <xsd:import namespace="444276ab-fddf-4fe7-828f-af9c5942cf90"/>
    <xsd:import namespace="fb23e533-1b81-45cb-90fb-9c467dfb7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276ab-fddf-4fe7-828f-af9c5942c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3e533-1b81-45cb-90fb-9c467dfb7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DD6F4-27F9-4B43-A13C-AD9908D0C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A5F3A-9A52-4275-B7D1-29DFE473C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276ab-fddf-4fe7-828f-af9c5942cf90"/>
    <ds:schemaRef ds:uri="fb23e533-1b81-45cb-90fb-9c467dfb7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EFBEC-A638-4B97-98AE-9066306AB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Links>
    <vt:vector size="6" baseType="variant"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http://www.energyhelp.ohio.gov/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Brownell, Lisa</dc:creator>
  <cp:keywords/>
  <dc:description/>
  <cp:lastModifiedBy>Brown, Tim</cp:lastModifiedBy>
  <cp:revision>2</cp:revision>
  <cp:lastPrinted>2022-01-27T18:04:00Z</cp:lastPrinted>
  <dcterms:created xsi:type="dcterms:W3CDTF">2022-01-27T18:04:00Z</dcterms:created>
  <dcterms:modified xsi:type="dcterms:W3CDTF">2022-01-27T18:04:00Z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0x010100E7CBE45839DF654B99063CB9C388297F</vt:lpwstr>
  </property>
</Properties>
</file>